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7FC8" w14:textId="19562A98" w:rsidR="008F520A" w:rsidRPr="008F520A" w:rsidRDefault="008F520A" w:rsidP="008F520A">
      <w:pPr>
        <w:pStyle w:val="NormaleWeb"/>
        <w:spacing w:before="0" w:beforeAutospacing="0"/>
        <w:rPr>
          <w:rFonts w:ascii="Cambria" w:hAnsi="Cambria"/>
          <w:b/>
          <w:bCs/>
          <w:color w:val="212529"/>
          <w:sz w:val="22"/>
          <w:szCs w:val="22"/>
        </w:rPr>
      </w:pPr>
      <w:r w:rsidRPr="008F520A">
        <w:rPr>
          <w:rFonts w:ascii="Cambria" w:hAnsi="Cambria"/>
          <w:b/>
          <w:bCs/>
          <w:color w:val="212529"/>
          <w:sz w:val="22"/>
          <w:szCs w:val="22"/>
        </w:rPr>
        <w:t>Borbone Pier Giorgio</w:t>
      </w:r>
    </w:p>
    <w:p w14:paraId="5FC1F6FE" w14:textId="77777777" w:rsidR="008F520A" w:rsidRPr="008F520A" w:rsidRDefault="008F520A" w:rsidP="008F520A">
      <w:pPr>
        <w:pStyle w:val="NormaleWeb"/>
        <w:spacing w:before="0" w:beforeAutospacing="0"/>
        <w:rPr>
          <w:rFonts w:ascii="Cambria" w:hAnsi="Cambria"/>
          <w:color w:val="212529"/>
          <w:sz w:val="22"/>
          <w:szCs w:val="22"/>
        </w:rPr>
      </w:pPr>
      <w:r w:rsidRPr="008F520A">
        <w:rPr>
          <w:rFonts w:ascii="Cambria" w:hAnsi="Cambria"/>
          <w:color w:val="212529"/>
          <w:sz w:val="22"/>
          <w:szCs w:val="22"/>
        </w:rPr>
        <w:t>Laurea in Lettere Classiche, indirizzo Discipline orientali, Università di Torino (1980).</w:t>
      </w:r>
      <w:r w:rsidRPr="008F520A">
        <w:rPr>
          <w:rFonts w:ascii="Cambria" w:hAnsi="Cambria"/>
          <w:color w:val="212529"/>
          <w:sz w:val="22"/>
          <w:szCs w:val="22"/>
        </w:rPr>
        <w:br/>
        <w:t>Perfezionamento in “Storia Religiosa”, Università di Torino (1983).</w:t>
      </w:r>
      <w:r w:rsidRPr="008F520A">
        <w:rPr>
          <w:rFonts w:ascii="Cambria" w:hAnsi="Cambria"/>
          <w:color w:val="212529"/>
          <w:sz w:val="22"/>
          <w:szCs w:val="22"/>
        </w:rPr>
        <w:br/>
        <w:t>Dottorato di ricerca in Ebraistica, Università di Torino, Roma “La Sapienza”, Venezia “Ca’ Foscari” (1989).</w:t>
      </w:r>
      <w:r w:rsidRPr="008F520A">
        <w:rPr>
          <w:rFonts w:ascii="Cambria" w:hAnsi="Cambria"/>
          <w:color w:val="212529"/>
          <w:sz w:val="22"/>
          <w:szCs w:val="22"/>
        </w:rPr>
        <w:br/>
        <w:t xml:space="preserve">Associate </w:t>
      </w:r>
      <w:proofErr w:type="spellStart"/>
      <w:r w:rsidRPr="008F520A">
        <w:rPr>
          <w:rFonts w:ascii="Cambria" w:hAnsi="Cambria"/>
          <w:color w:val="212529"/>
          <w:sz w:val="22"/>
          <w:szCs w:val="22"/>
        </w:rPr>
        <w:t>Member</w:t>
      </w:r>
      <w:proofErr w:type="spellEnd"/>
      <w:r w:rsidRPr="008F520A">
        <w:rPr>
          <w:rFonts w:ascii="Cambria" w:hAnsi="Cambria"/>
          <w:color w:val="212529"/>
          <w:sz w:val="22"/>
          <w:szCs w:val="22"/>
        </w:rPr>
        <w:t xml:space="preserve"> del </w:t>
      </w:r>
      <w:proofErr w:type="spellStart"/>
      <w:r w:rsidRPr="008F520A">
        <w:rPr>
          <w:rFonts w:ascii="Cambria" w:hAnsi="Cambria"/>
          <w:color w:val="212529"/>
          <w:sz w:val="22"/>
          <w:szCs w:val="22"/>
        </w:rPr>
        <w:t>Peshitta</w:t>
      </w:r>
      <w:proofErr w:type="spellEnd"/>
      <w:r w:rsidRPr="008F520A">
        <w:rPr>
          <w:rFonts w:ascii="Cambria" w:hAnsi="Cambria"/>
          <w:color w:val="212529"/>
          <w:sz w:val="22"/>
          <w:szCs w:val="22"/>
        </w:rPr>
        <w:t xml:space="preserve"> Institute, Università di Leiden, Paesi Bassi (dal 1989).</w:t>
      </w:r>
      <w:r w:rsidRPr="008F520A">
        <w:rPr>
          <w:rFonts w:ascii="Cambria" w:hAnsi="Cambria"/>
          <w:color w:val="212529"/>
          <w:sz w:val="22"/>
          <w:szCs w:val="22"/>
        </w:rPr>
        <w:br/>
        <w:t>Professore associato di Lingua e Letteratura ebraica (L-OR/08), Università di Pisa (2002).</w:t>
      </w:r>
      <w:r w:rsidRPr="008F520A">
        <w:rPr>
          <w:rFonts w:ascii="Cambria" w:hAnsi="Cambria"/>
          <w:color w:val="212529"/>
          <w:sz w:val="22"/>
          <w:szCs w:val="22"/>
        </w:rPr>
        <w:br/>
        <w:t>Membro del comitato editoriale della rivista “Egitto e Vicino Oriente” (dal 2001).</w:t>
      </w:r>
      <w:r w:rsidRPr="008F520A">
        <w:rPr>
          <w:rFonts w:ascii="Cambria" w:hAnsi="Cambria"/>
          <w:color w:val="212529"/>
          <w:sz w:val="22"/>
          <w:szCs w:val="22"/>
        </w:rPr>
        <w:br/>
        <w:t>Membro del comitato editoriale della rivista “</w:t>
      </w:r>
      <w:proofErr w:type="spellStart"/>
      <w:r w:rsidRPr="008F520A">
        <w:rPr>
          <w:rFonts w:ascii="Cambria" w:hAnsi="Cambria"/>
          <w:color w:val="212529"/>
          <w:sz w:val="22"/>
          <w:szCs w:val="22"/>
        </w:rPr>
        <w:t>Aramaic</w:t>
      </w:r>
      <w:proofErr w:type="spellEnd"/>
      <w:r w:rsidRPr="008F520A">
        <w:rPr>
          <w:rFonts w:ascii="Cambria" w:hAnsi="Cambria"/>
          <w:color w:val="212529"/>
          <w:sz w:val="22"/>
          <w:szCs w:val="22"/>
        </w:rPr>
        <w:t xml:space="preserve"> Studies” (dal 1998).</w:t>
      </w:r>
      <w:r w:rsidRPr="008F520A">
        <w:rPr>
          <w:rFonts w:ascii="Cambria" w:hAnsi="Cambria"/>
          <w:color w:val="212529"/>
          <w:sz w:val="22"/>
          <w:szCs w:val="22"/>
        </w:rPr>
        <w:br/>
        <w:t>Professore straordinario di Lingua e Letteratura siriaca (L-OR/07), Università di Pisa (dal 1° dicembre 2005).</w:t>
      </w:r>
      <w:r w:rsidRPr="008F520A">
        <w:rPr>
          <w:rFonts w:ascii="Cambria" w:hAnsi="Cambria"/>
          <w:color w:val="212529"/>
          <w:sz w:val="22"/>
          <w:szCs w:val="22"/>
        </w:rPr>
        <w:br/>
        <w:t>Presidente del Dottorato in Orientalistica: Egitto, Vicino e Medio Oriente (dal 1° novembre 2008 al 31 ottobre 2012).</w:t>
      </w:r>
      <w:r w:rsidRPr="008F520A">
        <w:rPr>
          <w:rFonts w:ascii="Cambria" w:hAnsi="Cambria"/>
          <w:color w:val="212529"/>
          <w:sz w:val="22"/>
          <w:szCs w:val="22"/>
        </w:rPr>
        <w:br/>
        <w:t>Professore ordinario di Lingua e Letteratura siriaca (L-OR/07), Università di Pisa (dal 1° dicembre 2008).</w:t>
      </w:r>
      <w:r w:rsidRPr="008F520A">
        <w:rPr>
          <w:rFonts w:ascii="Cambria" w:hAnsi="Cambria"/>
          <w:color w:val="212529"/>
          <w:sz w:val="22"/>
          <w:szCs w:val="22"/>
        </w:rPr>
        <w:br/>
      </w:r>
      <w:r w:rsidRPr="008F520A">
        <w:rPr>
          <w:rFonts w:ascii="Cambria" w:hAnsi="Cambria"/>
          <w:color w:val="212529"/>
          <w:sz w:val="22"/>
          <w:szCs w:val="22"/>
        </w:rPr>
        <w:br/>
        <w:t>Dal 2008 consulente del progetto di digitalizzazione dei manoscritti siriaci della Biblioteca Apostolica Vaticana, promosso dalla Brigham Young University, Provo, UT [http://cpart.byu.edu].</w:t>
      </w:r>
    </w:p>
    <w:p w14:paraId="2F2D5839" w14:textId="77777777" w:rsidR="008F520A" w:rsidRPr="008F520A" w:rsidRDefault="008F520A" w:rsidP="008F520A">
      <w:pPr>
        <w:pStyle w:val="NormaleWeb"/>
        <w:spacing w:before="0" w:beforeAutospacing="0"/>
        <w:rPr>
          <w:rFonts w:ascii="Cambria" w:hAnsi="Cambria"/>
          <w:color w:val="212529"/>
          <w:sz w:val="22"/>
          <w:szCs w:val="22"/>
        </w:rPr>
      </w:pPr>
      <w:r w:rsidRPr="008F520A">
        <w:rPr>
          <w:rFonts w:ascii="Cambria" w:hAnsi="Cambria"/>
          <w:color w:val="212529"/>
          <w:sz w:val="22"/>
          <w:szCs w:val="22"/>
        </w:rPr>
        <w:t xml:space="preserve">Dal 2010 rappresentante per l’Italia nel Comitato direttivo del network di ricerca “Comparative Oriental </w:t>
      </w:r>
      <w:proofErr w:type="spellStart"/>
      <w:r w:rsidRPr="008F520A">
        <w:rPr>
          <w:rFonts w:ascii="Cambria" w:hAnsi="Cambria"/>
          <w:color w:val="212529"/>
          <w:sz w:val="22"/>
          <w:szCs w:val="22"/>
        </w:rPr>
        <w:t>Manuscripts</w:t>
      </w:r>
      <w:proofErr w:type="spellEnd"/>
      <w:r w:rsidRPr="008F520A">
        <w:rPr>
          <w:rFonts w:ascii="Cambria" w:hAnsi="Cambria"/>
          <w:color w:val="212529"/>
          <w:sz w:val="22"/>
          <w:szCs w:val="22"/>
        </w:rPr>
        <w:t xml:space="preserve"> Study” (</w:t>
      </w:r>
      <w:proofErr w:type="spellStart"/>
      <w:r w:rsidRPr="008F520A">
        <w:rPr>
          <w:rFonts w:ascii="Cambria" w:hAnsi="Cambria"/>
          <w:color w:val="212529"/>
          <w:sz w:val="22"/>
          <w:szCs w:val="22"/>
        </w:rPr>
        <w:t>COMSt</w:t>
      </w:r>
      <w:proofErr w:type="spellEnd"/>
      <w:r w:rsidRPr="008F520A">
        <w:rPr>
          <w:rFonts w:ascii="Cambria" w:hAnsi="Cambria"/>
          <w:color w:val="212529"/>
          <w:sz w:val="22"/>
          <w:szCs w:val="22"/>
        </w:rPr>
        <w:t xml:space="preserve">) promosso dalla </w:t>
      </w:r>
      <w:proofErr w:type="spellStart"/>
      <w:r w:rsidRPr="008F520A">
        <w:rPr>
          <w:rFonts w:ascii="Cambria" w:hAnsi="Cambria"/>
          <w:color w:val="212529"/>
          <w:sz w:val="22"/>
          <w:szCs w:val="22"/>
        </w:rPr>
        <w:t>European</w:t>
      </w:r>
      <w:proofErr w:type="spellEnd"/>
      <w:r w:rsidRPr="008F520A">
        <w:rPr>
          <w:rFonts w:ascii="Cambria" w:hAnsi="Cambria"/>
          <w:color w:val="212529"/>
          <w:sz w:val="22"/>
          <w:szCs w:val="22"/>
        </w:rPr>
        <w:t xml:space="preserve"> Science Foundation; membro del Team 1: </w:t>
      </w:r>
      <w:proofErr w:type="spellStart"/>
      <w:r w:rsidRPr="008F520A">
        <w:rPr>
          <w:rFonts w:ascii="Cambria" w:hAnsi="Cambria"/>
          <w:color w:val="212529"/>
          <w:sz w:val="22"/>
          <w:szCs w:val="22"/>
        </w:rPr>
        <w:t>Codicology</w:t>
      </w:r>
      <w:proofErr w:type="spellEnd"/>
      <w:r w:rsidRPr="008F520A">
        <w:rPr>
          <w:rFonts w:ascii="Cambria" w:hAnsi="Cambria"/>
          <w:color w:val="212529"/>
          <w:sz w:val="22"/>
          <w:szCs w:val="22"/>
        </w:rPr>
        <w:t xml:space="preserve"> [http://www1.uni-hamburg.de/COMST/].</w:t>
      </w:r>
    </w:p>
    <w:p w14:paraId="799E5666" w14:textId="77777777" w:rsidR="008F520A" w:rsidRPr="008F520A" w:rsidRDefault="008F520A" w:rsidP="008F520A">
      <w:pPr>
        <w:pStyle w:val="NormaleWeb"/>
        <w:spacing w:before="0" w:beforeAutospacing="0"/>
        <w:rPr>
          <w:rFonts w:ascii="Cambria" w:hAnsi="Cambria"/>
          <w:color w:val="212529"/>
          <w:sz w:val="22"/>
          <w:szCs w:val="22"/>
        </w:rPr>
      </w:pPr>
      <w:r w:rsidRPr="008F520A">
        <w:rPr>
          <w:rFonts w:ascii="Cambria" w:hAnsi="Cambria"/>
          <w:color w:val="212529"/>
          <w:sz w:val="22"/>
          <w:szCs w:val="22"/>
        </w:rPr>
        <w:t xml:space="preserve">Nel marzo 2012 eletto membro del consiglio d’amministrazione della Société </w:t>
      </w:r>
      <w:proofErr w:type="spellStart"/>
      <w:r w:rsidRPr="008F520A">
        <w:rPr>
          <w:rFonts w:ascii="Cambria" w:hAnsi="Cambria"/>
          <w:color w:val="212529"/>
          <w:sz w:val="22"/>
          <w:szCs w:val="22"/>
        </w:rPr>
        <w:t>des</w:t>
      </w:r>
      <w:proofErr w:type="spellEnd"/>
      <w:r w:rsidRPr="008F520A">
        <w:rPr>
          <w:rFonts w:ascii="Cambria" w:hAnsi="Cambria"/>
          <w:color w:val="212529"/>
          <w:sz w:val="22"/>
          <w:szCs w:val="22"/>
        </w:rPr>
        <w:t xml:space="preserve"> </w:t>
      </w:r>
      <w:proofErr w:type="spellStart"/>
      <w:r w:rsidRPr="008F520A">
        <w:rPr>
          <w:rFonts w:ascii="Cambria" w:hAnsi="Cambria"/>
          <w:color w:val="212529"/>
          <w:sz w:val="22"/>
          <w:szCs w:val="22"/>
        </w:rPr>
        <w:t>études</w:t>
      </w:r>
      <w:proofErr w:type="spellEnd"/>
      <w:r w:rsidRPr="008F520A">
        <w:rPr>
          <w:rFonts w:ascii="Cambria" w:hAnsi="Cambria"/>
          <w:color w:val="212529"/>
          <w:sz w:val="22"/>
          <w:szCs w:val="22"/>
        </w:rPr>
        <w:t xml:space="preserve"> </w:t>
      </w:r>
      <w:proofErr w:type="spellStart"/>
      <w:r w:rsidRPr="008F520A">
        <w:rPr>
          <w:rFonts w:ascii="Cambria" w:hAnsi="Cambria"/>
          <w:color w:val="212529"/>
          <w:sz w:val="22"/>
          <w:szCs w:val="22"/>
        </w:rPr>
        <w:t>syriaques</w:t>
      </w:r>
      <w:proofErr w:type="spellEnd"/>
      <w:r w:rsidRPr="008F520A">
        <w:rPr>
          <w:rFonts w:ascii="Cambria" w:hAnsi="Cambria"/>
          <w:color w:val="212529"/>
          <w:sz w:val="22"/>
          <w:szCs w:val="22"/>
        </w:rPr>
        <w:t>.</w:t>
      </w:r>
      <w:r w:rsidRPr="008F520A">
        <w:rPr>
          <w:rFonts w:ascii="Cambria" w:hAnsi="Cambria"/>
          <w:color w:val="212529"/>
          <w:sz w:val="22"/>
          <w:szCs w:val="22"/>
        </w:rPr>
        <w:br/>
      </w:r>
      <w:r w:rsidRPr="008F520A">
        <w:rPr>
          <w:rFonts w:ascii="Cambria" w:hAnsi="Cambria"/>
          <w:color w:val="212529"/>
          <w:sz w:val="22"/>
          <w:szCs w:val="22"/>
        </w:rPr>
        <w:br/>
        <w:t>link utili:</w:t>
      </w:r>
      <w:r w:rsidRPr="008F520A">
        <w:rPr>
          <w:rFonts w:ascii="Cambria" w:hAnsi="Cambria"/>
          <w:color w:val="212529"/>
          <w:sz w:val="22"/>
          <w:szCs w:val="22"/>
        </w:rPr>
        <w:br/>
        <w:t>http://pisa.academia.edu/PierGiorgioBorbone</w:t>
      </w:r>
    </w:p>
    <w:p w14:paraId="4A658323" w14:textId="77777777" w:rsidR="008F520A" w:rsidRPr="008F520A" w:rsidRDefault="008F520A" w:rsidP="008F520A">
      <w:pPr>
        <w:pStyle w:val="NormaleWeb"/>
        <w:spacing w:before="0" w:beforeAutospacing="0"/>
        <w:rPr>
          <w:rFonts w:ascii="Cambria" w:hAnsi="Cambria"/>
          <w:color w:val="212529"/>
          <w:sz w:val="22"/>
          <w:szCs w:val="22"/>
        </w:rPr>
      </w:pPr>
      <w:r w:rsidRPr="008F520A">
        <w:rPr>
          <w:rFonts w:ascii="Cambria" w:hAnsi="Cambria"/>
          <w:color w:val="212529"/>
          <w:sz w:val="22"/>
          <w:szCs w:val="22"/>
        </w:rPr>
        <w:t>Pubblicazioni ebraistiche degli ultimi anni:</w:t>
      </w:r>
    </w:p>
    <w:p w14:paraId="3364A7C3" w14:textId="77777777" w:rsidR="008F520A" w:rsidRPr="008F520A" w:rsidRDefault="008F520A" w:rsidP="008F520A">
      <w:pPr>
        <w:pStyle w:val="NormaleWeb"/>
        <w:spacing w:before="0" w:beforeAutospacing="0"/>
        <w:rPr>
          <w:rFonts w:ascii="Cambria" w:hAnsi="Cambria"/>
          <w:color w:val="212529"/>
          <w:sz w:val="22"/>
          <w:szCs w:val="22"/>
        </w:rPr>
      </w:pPr>
      <w:r w:rsidRPr="008F520A">
        <w:rPr>
          <w:rFonts w:ascii="Cambria" w:hAnsi="Cambria"/>
          <w:color w:val="212529"/>
          <w:sz w:val="22"/>
          <w:szCs w:val="22"/>
        </w:rPr>
        <w:t>BORBONE, P.G., “Il Testo Masoretico di 2 Cronache 30,27”,</w:t>
      </w:r>
      <w:r w:rsidRPr="008F520A">
        <w:rPr>
          <w:rStyle w:val="apple-converted-space"/>
          <w:rFonts w:ascii="Cambria" w:eastAsiaTheme="majorEastAsia" w:hAnsi="Cambria"/>
          <w:color w:val="212529"/>
          <w:sz w:val="22"/>
          <w:szCs w:val="22"/>
        </w:rPr>
        <w:t> </w:t>
      </w:r>
      <w:r w:rsidRPr="008F520A">
        <w:rPr>
          <w:rStyle w:val="Enfasicorsivo"/>
          <w:rFonts w:ascii="Cambria" w:eastAsiaTheme="majorEastAsia" w:hAnsi="Cambria"/>
          <w:color w:val="212529"/>
          <w:sz w:val="22"/>
          <w:szCs w:val="22"/>
        </w:rPr>
        <w:t>HENOCH</w:t>
      </w:r>
      <w:r w:rsidRPr="008F520A">
        <w:rPr>
          <w:rStyle w:val="apple-converted-space"/>
          <w:rFonts w:ascii="Cambria" w:eastAsiaTheme="majorEastAsia" w:hAnsi="Cambria"/>
          <w:color w:val="212529"/>
          <w:sz w:val="22"/>
          <w:szCs w:val="22"/>
        </w:rPr>
        <w:t> </w:t>
      </w:r>
      <w:r w:rsidRPr="008F520A">
        <w:rPr>
          <w:rFonts w:ascii="Cambria" w:hAnsi="Cambria"/>
          <w:color w:val="212529"/>
          <w:sz w:val="22"/>
          <w:szCs w:val="22"/>
        </w:rPr>
        <w:t>26 (2004), 243-250.</w:t>
      </w:r>
    </w:p>
    <w:p w14:paraId="3784B9B5" w14:textId="77777777" w:rsidR="008F520A" w:rsidRPr="008F520A" w:rsidRDefault="008F520A" w:rsidP="008F520A">
      <w:pPr>
        <w:pStyle w:val="NormaleWeb"/>
        <w:rPr>
          <w:rFonts w:ascii="Cambria" w:hAnsi="Cambria"/>
          <w:color w:val="000000"/>
          <w:sz w:val="22"/>
          <w:szCs w:val="22"/>
        </w:rPr>
      </w:pPr>
      <w:r w:rsidRPr="008F520A">
        <w:rPr>
          <w:rFonts w:ascii="Cambria" w:hAnsi="Cambria"/>
          <w:color w:val="000000"/>
          <w:sz w:val="22"/>
          <w:szCs w:val="22"/>
        </w:rPr>
        <w:t>BORBONE, P.G., “Il Testo Masoretico di 2 Cronache 30,27”,</w:t>
      </w:r>
      <w:r w:rsidRPr="008F520A">
        <w:rPr>
          <w:rStyle w:val="apple-converted-space"/>
          <w:rFonts w:ascii="Cambria" w:eastAsiaTheme="majorEastAsia" w:hAnsi="Cambria"/>
          <w:color w:val="000000"/>
          <w:sz w:val="22"/>
          <w:szCs w:val="22"/>
        </w:rPr>
        <w:t> </w:t>
      </w:r>
      <w:r w:rsidRPr="008F520A">
        <w:rPr>
          <w:rStyle w:val="Enfasicorsivo"/>
          <w:rFonts w:ascii="Cambria" w:eastAsiaTheme="majorEastAsia" w:hAnsi="Cambria"/>
          <w:color w:val="000000"/>
          <w:sz w:val="22"/>
          <w:szCs w:val="22"/>
        </w:rPr>
        <w:t>HENOCH</w:t>
      </w:r>
      <w:r w:rsidRPr="008F520A">
        <w:rPr>
          <w:rStyle w:val="apple-converted-space"/>
          <w:rFonts w:ascii="Cambria" w:eastAsiaTheme="majorEastAsia" w:hAnsi="Cambria"/>
          <w:color w:val="000000"/>
          <w:sz w:val="22"/>
          <w:szCs w:val="22"/>
        </w:rPr>
        <w:t> </w:t>
      </w:r>
      <w:r w:rsidRPr="008F520A">
        <w:rPr>
          <w:rFonts w:ascii="Cambria" w:hAnsi="Cambria"/>
          <w:color w:val="000000"/>
          <w:sz w:val="22"/>
          <w:szCs w:val="22"/>
        </w:rPr>
        <w:t>26 (2004), 243-250.</w:t>
      </w:r>
    </w:p>
    <w:p w14:paraId="79D534BC" w14:textId="77777777" w:rsidR="008F520A" w:rsidRPr="008F520A" w:rsidRDefault="008F520A" w:rsidP="008F520A">
      <w:pPr>
        <w:pStyle w:val="NormaleWeb"/>
        <w:rPr>
          <w:rFonts w:ascii="Cambria" w:hAnsi="Cambria"/>
          <w:color w:val="000000"/>
          <w:sz w:val="22"/>
          <w:szCs w:val="22"/>
        </w:rPr>
      </w:pPr>
      <w:r w:rsidRPr="008F520A">
        <w:rPr>
          <w:rFonts w:ascii="Cambria" w:hAnsi="Cambria"/>
          <w:color w:val="000000"/>
          <w:sz w:val="22"/>
          <w:szCs w:val="22"/>
        </w:rPr>
        <w:t xml:space="preserve">BORBONE, </w:t>
      </w:r>
      <w:proofErr w:type="gramStart"/>
      <w:r w:rsidRPr="008F520A">
        <w:rPr>
          <w:rFonts w:ascii="Cambria" w:hAnsi="Cambria"/>
          <w:color w:val="000000"/>
          <w:sz w:val="22"/>
          <w:szCs w:val="22"/>
        </w:rPr>
        <w:t>P.G..</w:t>
      </w:r>
      <w:proofErr w:type="gramEnd"/>
      <w:r w:rsidRPr="008F520A">
        <w:rPr>
          <w:rFonts w:ascii="Cambria" w:hAnsi="Cambria"/>
          <w:color w:val="000000"/>
          <w:sz w:val="22"/>
          <w:szCs w:val="22"/>
        </w:rPr>
        <w:t xml:space="preserve"> “Abramo nei testi della Bibbia”, in C. Letta (a cura di-),</w:t>
      </w:r>
      <w:r w:rsidRPr="008F520A">
        <w:rPr>
          <w:rStyle w:val="apple-converted-space"/>
          <w:rFonts w:ascii="Cambria" w:eastAsiaTheme="majorEastAsia" w:hAnsi="Cambria"/>
          <w:color w:val="000000"/>
          <w:sz w:val="22"/>
          <w:szCs w:val="22"/>
        </w:rPr>
        <w:t> </w:t>
      </w:r>
      <w:r w:rsidRPr="008F520A">
        <w:rPr>
          <w:rStyle w:val="Enfasicorsivo"/>
          <w:rFonts w:ascii="Cambria" w:eastAsiaTheme="majorEastAsia" w:hAnsi="Cambria"/>
          <w:color w:val="000000"/>
          <w:sz w:val="22"/>
          <w:szCs w:val="22"/>
        </w:rPr>
        <w:t>Abramo padre di tutti i credenti. Alle radici delle tre grandi religioni monoteistiche</w:t>
      </w:r>
      <w:r w:rsidRPr="008F520A">
        <w:rPr>
          <w:rFonts w:ascii="Cambria" w:hAnsi="Cambria"/>
          <w:color w:val="000000"/>
          <w:sz w:val="22"/>
          <w:szCs w:val="22"/>
        </w:rPr>
        <w:t>, Pisa 2006, pp. 11-34.</w:t>
      </w:r>
    </w:p>
    <w:p w14:paraId="0355044A" w14:textId="77777777" w:rsidR="008F520A" w:rsidRPr="008F520A" w:rsidRDefault="008F520A" w:rsidP="008F520A">
      <w:pPr>
        <w:pStyle w:val="NormaleWeb"/>
        <w:rPr>
          <w:rFonts w:ascii="Cambria" w:hAnsi="Cambria"/>
          <w:color w:val="000000"/>
          <w:sz w:val="22"/>
          <w:szCs w:val="22"/>
        </w:rPr>
      </w:pPr>
      <w:r w:rsidRPr="008F520A">
        <w:rPr>
          <w:rFonts w:ascii="Cambria" w:hAnsi="Cambria"/>
          <w:color w:val="000000"/>
          <w:sz w:val="22"/>
          <w:szCs w:val="22"/>
        </w:rPr>
        <w:t>BORBONE, P.G., “La Torah nel contesto delle codificazioni del Vicino Oriente antico”, in C. Letta (a cura di -),</w:t>
      </w:r>
      <w:r w:rsidRPr="008F520A">
        <w:rPr>
          <w:rStyle w:val="apple-converted-space"/>
          <w:rFonts w:ascii="Cambria" w:eastAsiaTheme="majorEastAsia" w:hAnsi="Cambria"/>
          <w:color w:val="000000"/>
          <w:sz w:val="22"/>
          <w:szCs w:val="22"/>
        </w:rPr>
        <w:t> </w:t>
      </w:r>
      <w:r w:rsidRPr="008F520A">
        <w:rPr>
          <w:rStyle w:val="Enfasicorsivo"/>
          <w:rFonts w:ascii="Cambria" w:eastAsiaTheme="majorEastAsia" w:hAnsi="Cambria"/>
          <w:color w:val="000000"/>
          <w:sz w:val="22"/>
          <w:szCs w:val="22"/>
        </w:rPr>
        <w:t>I dieci comandamenti. Religione, coscienza, libertà</w:t>
      </w:r>
      <w:r w:rsidRPr="008F520A">
        <w:rPr>
          <w:rFonts w:ascii="Cambria" w:hAnsi="Cambria"/>
          <w:color w:val="000000"/>
          <w:sz w:val="22"/>
          <w:szCs w:val="22"/>
        </w:rPr>
        <w:t>, Pisa 2010, pp. 9-39.</w:t>
      </w:r>
    </w:p>
    <w:p w14:paraId="67718118" w14:textId="77777777" w:rsidR="005C7111" w:rsidRDefault="005C7111"/>
    <w:sectPr w:rsidR="005C7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autoHyphenation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0A"/>
    <w:rsid w:val="00363AAF"/>
    <w:rsid w:val="004C4A3C"/>
    <w:rsid w:val="005C7111"/>
    <w:rsid w:val="00791B97"/>
    <w:rsid w:val="008F520A"/>
    <w:rsid w:val="00F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EDE07"/>
  <w15:chartTrackingRefBased/>
  <w15:docId w15:val="{21744C3D-A28A-E74A-93E8-BCA8408C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5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5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5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5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5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5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5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5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5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5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2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2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2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2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2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2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5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5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5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5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5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52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52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52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5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52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520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F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8F520A"/>
  </w:style>
  <w:style w:type="character" w:styleId="Enfasicorsivo">
    <w:name w:val="Emphasis"/>
    <w:basedOn w:val="Carpredefinitoparagrafo"/>
    <w:uiPriority w:val="20"/>
    <w:qFormat/>
    <w:rsid w:val="008F52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Grazzini</dc:creator>
  <cp:keywords/>
  <dc:description/>
  <cp:lastModifiedBy>Serena Grazzini</cp:lastModifiedBy>
  <cp:revision>1</cp:revision>
  <dcterms:created xsi:type="dcterms:W3CDTF">2025-02-08T10:44:00Z</dcterms:created>
  <dcterms:modified xsi:type="dcterms:W3CDTF">2025-02-08T10:45:00Z</dcterms:modified>
</cp:coreProperties>
</file>